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71C6" w:rsidRDefault="005071C6" w:rsidP="005071C6">
      <w:pPr>
        <w:pStyle w:val="Heading21"/>
        <w:numPr>
          <w:ilvl w:val="0"/>
          <w:numId w:val="0"/>
        </w:numPr>
        <w:snapToGrid w:val="0"/>
        <w:spacing w:before="240" w:line="240" w:lineRule="auto"/>
        <w:jc w:val="right"/>
        <w:rPr>
          <w:rFonts w:eastAsia="Calibri"/>
          <w:b/>
          <w:bCs w:val="0"/>
          <w:caps w:val="0"/>
          <w:kern w:val="0"/>
          <w:sz w:val="24"/>
          <w:szCs w:val="24"/>
          <w:lang w:val="ru-RU"/>
        </w:rPr>
      </w:pPr>
      <w:r>
        <w:rPr>
          <w:rFonts w:eastAsia="Calibri"/>
          <w:b/>
          <w:bCs w:val="0"/>
          <w:caps w:val="0"/>
          <w:kern w:val="0"/>
          <w:sz w:val="24"/>
          <w:szCs w:val="24"/>
          <w:lang w:val="ru-RU"/>
        </w:rPr>
        <w:t>Приложение №7.</w:t>
      </w:r>
    </w:p>
    <w:p w:rsidR="00CE045F" w:rsidRPr="005071C6" w:rsidRDefault="005071C6" w:rsidP="005071C6">
      <w:pPr>
        <w:pStyle w:val="Heading21"/>
        <w:numPr>
          <w:ilvl w:val="0"/>
          <w:numId w:val="0"/>
        </w:numPr>
        <w:snapToGrid w:val="0"/>
        <w:spacing w:before="240" w:line="240" w:lineRule="auto"/>
        <w:jc w:val="center"/>
        <w:rPr>
          <w:rFonts w:eastAsia="Calibri"/>
          <w:b/>
          <w:bCs w:val="0"/>
          <w:caps w:val="0"/>
          <w:kern w:val="0"/>
          <w:sz w:val="24"/>
          <w:szCs w:val="24"/>
          <w:lang w:val="ru-RU"/>
        </w:rPr>
      </w:pPr>
      <w:r>
        <w:rPr>
          <w:rFonts w:eastAsia="Calibri"/>
          <w:b/>
          <w:bCs w:val="0"/>
          <w:caps w:val="0"/>
          <w:kern w:val="0"/>
          <w:sz w:val="24"/>
          <w:szCs w:val="24"/>
          <w:lang w:val="ru-RU"/>
        </w:rPr>
        <w:t>Т</w:t>
      </w:r>
      <w:r w:rsidR="00CE045F" w:rsidRPr="005071C6">
        <w:rPr>
          <w:rFonts w:eastAsia="Calibri"/>
          <w:b/>
          <w:bCs w:val="0"/>
          <w:caps w:val="0"/>
          <w:kern w:val="0"/>
          <w:sz w:val="24"/>
          <w:szCs w:val="24"/>
          <w:lang w:val="ru-RU"/>
        </w:rPr>
        <w:t xml:space="preserve">ребования </w:t>
      </w:r>
      <w:r w:rsidR="00FC7E2D">
        <w:rPr>
          <w:rFonts w:eastAsia="Calibri"/>
          <w:b/>
          <w:bCs w:val="0"/>
          <w:caps w:val="0"/>
          <w:kern w:val="0"/>
          <w:sz w:val="24"/>
          <w:szCs w:val="24"/>
          <w:lang w:val="ru-RU"/>
        </w:rPr>
        <w:t>к</w:t>
      </w:r>
      <w:r w:rsidR="00CE045F" w:rsidRPr="005071C6">
        <w:rPr>
          <w:rFonts w:eastAsia="Calibri"/>
          <w:b/>
          <w:bCs w:val="0"/>
          <w:caps w:val="0"/>
          <w:kern w:val="0"/>
          <w:sz w:val="24"/>
          <w:szCs w:val="24"/>
          <w:lang w:val="ru-RU"/>
        </w:rPr>
        <w:t xml:space="preserve"> ВК сборочных единиц</w:t>
      </w:r>
    </w:p>
    <w:p w:rsidR="00CE045F" w:rsidRPr="005071C6" w:rsidRDefault="00CE045F" w:rsidP="00CE045F">
      <w:pPr>
        <w:pStyle w:val="a3"/>
        <w:spacing w:after="0"/>
        <w:ind w:left="0" w:firstLine="709"/>
        <w:jc w:val="both"/>
        <w:rPr>
          <w:rFonts w:ascii="Arial" w:hAnsi="Arial" w:cs="Arial"/>
          <w:vanish/>
          <w:sz w:val="24"/>
          <w:szCs w:val="24"/>
        </w:rPr>
      </w:pPr>
    </w:p>
    <w:p w:rsidR="00CE045F" w:rsidRPr="005071C6" w:rsidRDefault="00CE045F" w:rsidP="00CE045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К сборочным единицам относятся змеевики печей, трубные пучки теп</w:t>
      </w:r>
      <w:r w:rsidRPr="005071C6">
        <w:rPr>
          <w:rFonts w:ascii="Arial" w:hAnsi="Arial" w:cs="Arial"/>
          <w:sz w:val="24"/>
          <w:szCs w:val="24"/>
        </w:rPr>
        <w:softHyphen/>
        <w:t>лообменников, узловые сборки трубопроводов и т.п. ВК про</w:t>
      </w:r>
      <w:r w:rsidRPr="005071C6">
        <w:rPr>
          <w:rFonts w:ascii="Arial" w:hAnsi="Arial" w:cs="Arial"/>
          <w:sz w:val="24"/>
          <w:szCs w:val="24"/>
        </w:rPr>
        <w:softHyphen/>
        <w:t>изводится до монтажа и в сроки до истечения гарантии.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наличие товарно-сопроводительной документации;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комплектность поставки;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наличие технической документации;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маркировка в соответствии с технической документацией;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соответствие технической документации на сборочную единицу требованиям проекта, стандартов, действующих правил;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отсутствие внешних повреждений и состояние консервации сборочной еди</w:t>
      </w:r>
      <w:r w:rsidRPr="005071C6">
        <w:rPr>
          <w:rFonts w:ascii="Arial" w:hAnsi="Arial" w:cs="Arial"/>
          <w:sz w:val="24"/>
          <w:szCs w:val="24"/>
        </w:rPr>
        <w:softHyphen/>
        <w:t>ницы.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визуального наружного и внутреннего, в доступных местах, осмотра эле</w:t>
      </w:r>
      <w:r w:rsidRPr="005071C6">
        <w:rPr>
          <w:rFonts w:ascii="Arial" w:hAnsi="Arial" w:cs="Arial"/>
          <w:sz w:val="24"/>
          <w:szCs w:val="24"/>
        </w:rPr>
        <w:softHyphen/>
        <w:t>ментов (труб, отводов, переходов, сварных швов, вальцовочных соединений и т.д.) и измерений геометрических размеров элементов согласно чертежу, включая стыковочно-сборочные размеры;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неразрушающего контроля сварных соединений (ультразвуковым или радиографическим методами) в объеме 1 % от общего числа сварных соединений на каждом поставочном блоке (секции, узле), но не менее 2-х стыков;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сварные соединения, не прошедшие входной контроль по визуальному ос</w:t>
      </w:r>
      <w:r w:rsidRPr="005071C6">
        <w:rPr>
          <w:rFonts w:ascii="Arial" w:hAnsi="Arial" w:cs="Arial"/>
          <w:sz w:val="24"/>
          <w:szCs w:val="24"/>
        </w:rPr>
        <w:softHyphen/>
        <w:t>мотру и измерениям параметров сварного шва, дополнительно контролиру</w:t>
      </w:r>
      <w:r w:rsidRPr="005071C6">
        <w:rPr>
          <w:rFonts w:ascii="Arial" w:hAnsi="Arial" w:cs="Arial"/>
          <w:sz w:val="24"/>
          <w:szCs w:val="24"/>
        </w:rPr>
        <w:softHyphen/>
        <w:t>ются ультразвуковым или радиографическим методами в объеме 100% для выявления возможных недопустимых внутренних дефектов;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при наличии на поставочном блоке элементов из разнородных сталей или элементов, сваренных неоднородными электродами, контролю ультразвуковым или радиографическим методами подвергаются сварные швы в объеме 1% от всех однотипных соединений, но не менее 3-х стыков;</w:t>
      </w:r>
    </w:p>
    <w:p w:rsidR="00CE045F" w:rsidRPr="005071C6" w:rsidRDefault="00CE045F" w:rsidP="00CE045F">
      <w:pPr>
        <w:pStyle w:val="a3"/>
        <w:numPr>
          <w:ilvl w:val="0"/>
          <w:numId w:val="3"/>
        </w:numPr>
        <w:spacing w:after="0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71C6">
        <w:rPr>
          <w:rFonts w:ascii="Arial" w:hAnsi="Arial" w:cs="Arial"/>
          <w:sz w:val="24"/>
          <w:szCs w:val="24"/>
        </w:rPr>
        <w:t>в случае обнаружения недопустимых внутренних дефектов контроль прово</w:t>
      </w:r>
      <w:r w:rsidRPr="005071C6">
        <w:rPr>
          <w:rFonts w:ascii="Arial" w:hAnsi="Arial" w:cs="Arial"/>
          <w:sz w:val="24"/>
          <w:szCs w:val="24"/>
        </w:rPr>
        <w:softHyphen/>
        <w:t>дится на удвоенном количестве стыков того поставочного оборудования, сек</w:t>
      </w:r>
      <w:r w:rsidRPr="005071C6">
        <w:rPr>
          <w:rFonts w:ascii="Arial" w:hAnsi="Arial" w:cs="Arial"/>
          <w:sz w:val="24"/>
          <w:szCs w:val="24"/>
        </w:rPr>
        <w:softHyphen/>
        <w:t>ции или узла, где они выявлены.</w:t>
      </w:r>
    </w:p>
    <w:p w:rsidR="00B6586A" w:rsidRPr="00CE045F" w:rsidRDefault="00A756E7">
      <w:pPr>
        <w:rPr>
          <w:rFonts w:ascii="Arial" w:hAnsi="Arial" w:cs="Arial"/>
        </w:rPr>
      </w:pPr>
    </w:p>
    <w:sectPr w:rsidR="00B6586A" w:rsidRPr="00CE045F" w:rsidSect="001D28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56E7" w:rsidRDefault="00A756E7" w:rsidP="00E21A85">
      <w:pPr>
        <w:spacing w:after="0" w:line="240" w:lineRule="auto"/>
      </w:pPr>
      <w:r>
        <w:separator/>
      </w:r>
    </w:p>
  </w:endnote>
  <w:endnote w:type="continuationSeparator" w:id="0">
    <w:p w:rsidR="00A756E7" w:rsidRDefault="00A756E7" w:rsidP="00E2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3C1B" w:rsidRDefault="00263C1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3C1B" w:rsidRDefault="00263C1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3C1B" w:rsidRDefault="00263C1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56E7" w:rsidRDefault="00A756E7" w:rsidP="00E21A85">
      <w:pPr>
        <w:spacing w:after="0" w:line="240" w:lineRule="auto"/>
      </w:pPr>
      <w:r>
        <w:separator/>
      </w:r>
    </w:p>
  </w:footnote>
  <w:footnote w:type="continuationSeparator" w:id="0">
    <w:p w:rsidR="00A756E7" w:rsidRDefault="00A756E7" w:rsidP="00E2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3C1B" w:rsidRDefault="00263C1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60"/>
      <w:gridCol w:w="5291"/>
      <w:gridCol w:w="1261"/>
    </w:tblGrid>
    <w:tr w:rsidR="001D2866" w:rsidTr="00DB5E80">
      <w:trPr>
        <w:cantSplit/>
        <w:trHeight w:val="762"/>
        <w:jc w:val="center"/>
      </w:trPr>
      <w:tc>
        <w:tcPr>
          <w:tcW w:w="1695" w:type="pct"/>
          <w:vMerge w:val="restart"/>
          <w:tcBorders>
            <w:right w:val="single" w:sz="4" w:space="0" w:color="auto"/>
          </w:tcBorders>
          <w:vAlign w:val="center"/>
        </w:tcPr>
        <w:p w:rsidR="001D2866" w:rsidRDefault="001D2866" w:rsidP="001D2866">
          <w:pPr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bookmarkStart w:id="0" w:name="_Hlk197333173"/>
          <w:r>
            <w:rPr>
              <w:noProof/>
              <w:color w:val="1F497D"/>
            </w:rPr>
            <w:drawing>
              <wp:inline distT="0" distB="0" distL="0" distR="0" wp14:anchorId="769E353C" wp14:editId="2E6D23BA">
                <wp:extent cx="1820848" cy="882394"/>
                <wp:effectExtent l="0" t="0" r="8255" b="0"/>
                <wp:docPr id="6" name="Рисунок 6" descr="Эн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Эн+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46" cy="889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5" w:type="pct"/>
          <w:gridSpan w:val="2"/>
          <w:tcMar>
            <w:top w:w="28" w:type="dxa"/>
            <w:bottom w:w="28" w:type="dxa"/>
          </w:tcMar>
          <w:vAlign w:val="center"/>
        </w:tcPr>
        <w:p w:rsidR="001D2866" w:rsidRPr="00BC72F1" w:rsidRDefault="00263C1B" w:rsidP="00263C1B">
          <w:pPr>
            <w:ind w:right="85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 w:rsidRPr="00263C1B">
            <w:rPr>
              <w:rFonts w:ascii="Arial" w:hAnsi="Arial" w:cs="Arial"/>
              <w:b/>
            </w:rPr>
            <w:t>ЭНГ</w:t>
          </w:r>
          <w:proofErr w:type="gramStart"/>
          <w:r w:rsidRPr="00263C1B">
            <w:rPr>
              <w:rFonts w:ascii="Arial" w:hAnsi="Arial" w:cs="Arial"/>
              <w:b/>
            </w:rPr>
            <w:t>24.010.РГЛ</w:t>
          </w:r>
          <w:proofErr w:type="gramEnd"/>
          <w:r w:rsidRPr="00263C1B">
            <w:rPr>
              <w:rFonts w:ascii="Arial" w:hAnsi="Arial" w:cs="Arial"/>
              <w:b/>
            </w:rPr>
            <w:t>.01.002</w:t>
          </w:r>
        </w:p>
      </w:tc>
    </w:tr>
    <w:tr w:rsidR="001D2866" w:rsidTr="00DB5E80">
      <w:trPr>
        <w:cantSplit/>
        <w:trHeight w:val="378"/>
        <w:jc w:val="center"/>
      </w:trPr>
      <w:tc>
        <w:tcPr>
          <w:tcW w:w="1695" w:type="pct"/>
          <w:vMerge/>
          <w:tcBorders>
            <w:right w:val="single" w:sz="4" w:space="0" w:color="auto"/>
          </w:tcBorders>
          <w:vAlign w:val="center"/>
        </w:tcPr>
        <w:p w:rsidR="001D2866" w:rsidRPr="00F06AAA" w:rsidRDefault="001D2866" w:rsidP="001D2866">
          <w:pPr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66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1D2866" w:rsidRPr="00BB16E9" w:rsidRDefault="001D2866" w:rsidP="001D2866">
          <w:pPr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</w:rPr>
            <w:t>Р</w:t>
          </w:r>
          <w:r w:rsidRPr="00377916">
            <w:rPr>
              <w:rFonts w:ascii="Arial" w:hAnsi="Arial" w:cs="Arial"/>
              <w:b/>
            </w:rPr>
            <w:t>егламент о проведении входного контроля материалов на строительной площадке</w:t>
          </w:r>
        </w:p>
      </w:tc>
      <w:tc>
        <w:tcPr>
          <w:tcW w:w="636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:rsidR="001D2866" w:rsidRPr="000109A5" w:rsidRDefault="001D2866" w:rsidP="001D2866">
          <w:pPr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01</w:t>
          </w:r>
        </w:p>
      </w:tc>
    </w:tr>
    <w:bookmarkEnd w:id="0"/>
  </w:tbl>
  <w:p w:rsidR="00E21A85" w:rsidRDefault="00E21A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3C1B" w:rsidRDefault="00263C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573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EF0DBE"/>
    <w:multiLevelType w:val="hybridMultilevel"/>
    <w:tmpl w:val="D8D61DFE"/>
    <w:lvl w:ilvl="0" w:tplc="E35CC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D4743CB"/>
    <w:multiLevelType w:val="multilevel"/>
    <w:tmpl w:val="F8602F34"/>
    <w:lvl w:ilvl="0">
      <w:start w:val="1"/>
      <w:numFmt w:val="decimal"/>
      <w:pStyle w:val="Heading21"/>
      <w:lvlText w:val="%1."/>
      <w:lvlJc w:val="left"/>
      <w:pPr>
        <w:ind w:left="1325" w:hanging="615"/>
      </w:pPr>
    </w:lvl>
    <w:lvl w:ilvl="1">
      <w:start w:val="1"/>
      <w:numFmt w:val="decimal"/>
      <w:pStyle w:val="StyleHeading211-2ndOrderHeading12ptAutoJustifie"/>
      <w:lvlText w:val="%1.%2."/>
      <w:lvlJc w:val="left"/>
      <w:pPr>
        <w:ind w:left="720" w:hanging="720"/>
      </w:pPr>
    </w:lvl>
    <w:lvl w:ilvl="2">
      <w:start w:val="1"/>
      <w:numFmt w:val="decimal"/>
      <w:pStyle w:val="StyleHeading311ptAutoJustified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B0"/>
    <w:rsid w:val="00061123"/>
    <w:rsid w:val="001D2866"/>
    <w:rsid w:val="002249CC"/>
    <w:rsid w:val="00263C1B"/>
    <w:rsid w:val="00305980"/>
    <w:rsid w:val="003470A4"/>
    <w:rsid w:val="0035360B"/>
    <w:rsid w:val="003C44B0"/>
    <w:rsid w:val="003C712D"/>
    <w:rsid w:val="00416AE0"/>
    <w:rsid w:val="005071C6"/>
    <w:rsid w:val="005B6C9D"/>
    <w:rsid w:val="007D67BA"/>
    <w:rsid w:val="00896305"/>
    <w:rsid w:val="009050B2"/>
    <w:rsid w:val="00A756E7"/>
    <w:rsid w:val="00B20E57"/>
    <w:rsid w:val="00CE045F"/>
    <w:rsid w:val="00D008BF"/>
    <w:rsid w:val="00D64F66"/>
    <w:rsid w:val="00E21A85"/>
    <w:rsid w:val="00E50A57"/>
    <w:rsid w:val="00F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0A0B"/>
  <w15:docId w15:val="{4E2A27AB-5122-41E0-A398-CF4886E2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45F"/>
  </w:style>
  <w:style w:type="paragraph" w:styleId="1">
    <w:name w:val="heading 1"/>
    <w:basedOn w:val="a"/>
    <w:next w:val="a"/>
    <w:link w:val="10"/>
    <w:uiPriority w:val="9"/>
    <w:qFormat/>
    <w:rsid w:val="00CE04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04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45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Heading21">
    <w:name w:val="Heading 21"/>
    <w:basedOn w:val="1"/>
    <w:rsid w:val="00CE045F"/>
    <w:pPr>
      <w:keepLines w:val="0"/>
      <w:numPr>
        <w:numId w:val="1"/>
      </w:numPr>
      <w:tabs>
        <w:tab w:val="num" w:pos="36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Arial"/>
      <w:b w:val="0"/>
      <w:caps/>
      <w:color w:val="auto"/>
      <w:kern w:val="32"/>
      <w:lang w:val="en-US"/>
    </w:rPr>
  </w:style>
  <w:style w:type="paragraph" w:customStyle="1" w:styleId="StyleHeading211-2ndOrderHeading12ptAutoJustifie">
    <w:name w:val="Style Heading 2. (1.1)- 2nd Order Heading + 12 pt Auto Justifie..."/>
    <w:basedOn w:val="2"/>
    <w:rsid w:val="00CE045F"/>
    <w:pPr>
      <w:keepLines w:val="0"/>
      <w:numPr>
        <w:ilvl w:val="1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  <w:jc w:val="both"/>
    </w:pPr>
    <w:rPr>
      <w:rFonts w:ascii="Arial" w:eastAsia="Times New Roman" w:hAnsi="Arial" w:cs="Times New Roman"/>
      <w:color w:val="auto"/>
      <w:sz w:val="24"/>
      <w:szCs w:val="20"/>
      <w:lang w:val="en-US"/>
    </w:rPr>
  </w:style>
  <w:style w:type="paragraph" w:customStyle="1" w:styleId="StyleHeading311ptAutoJustified">
    <w:name w:val="Style Heading 3 + 11 pt Auto Justified"/>
    <w:basedOn w:val="3"/>
    <w:rsid w:val="00CE045F"/>
    <w:pPr>
      <w:keepLines w:val="0"/>
      <w:numPr>
        <w:ilvl w:val="2"/>
        <w:numId w:val="1"/>
      </w:numPr>
      <w:tabs>
        <w:tab w:val="num" w:pos="360"/>
        <w:tab w:val="left" w:pos="720"/>
      </w:tabs>
      <w:spacing w:before="120" w:after="120" w:line="240" w:lineRule="atLeast"/>
      <w:ind w:left="0" w:firstLine="0"/>
    </w:pPr>
    <w:rPr>
      <w:rFonts w:ascii="Arial" w:eastAsia="Times New Roman" w:hAnsi="Arial" w:cs="Times New Roman"/>
      <w:color w:val="auto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E04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0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045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header"/>
    <w:basedOn w:val="a"/>
    <w:link w:val="a5"/>
    <w:uiPriority w:val="99"/>
    <w:unhideWhenUsed/>
    <w:rsid w:val="00E21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1A85"/>
  </w:style>
  <w:style w:type="paragraph" w:styleId="a6">
    <w:name w:val="footer"/>
    <w:basedOn w:val="a"/>
    <w:link w:val="a7"/>
    <w:uiPriority w:val="99"/>
    <w:unhideWhenUsed/>
    <w:rsid w:val="00E21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1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C870.6F9614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S56PUJFUA6ZF-242-512</_dlc_DocId>
    <_dlc_DocIdUrl xmlns="bbb6fe13-efa9-496d-8443-35c650172223">
      <Url>https://agpp.rusproject.ru/mailbox/AGPZ/_layouts/15/DocIdRedir.aspx?ID=S56PUJFUA6ZF-242-512</Url>
      <Description>S56PUJFUA6ZF-242-512</Description>
    </_dlc_DocIdUrl>
  </documentManagement>
</p:properties>
</file>

<file path=customXml/itemProps1.xml><?xml version="1.0" encoding="utf-8"?>
<ds:datastoreItem xmlns:ds="http://schemas.openxmlformats.org/officeDocument/2006/customXml" ds:itemID="{B0FBBBDD-B249-409D-8A7E-E720514B20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ECB85D-E3B6-4A4C-A644-C24F86651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65CE3-1A74-46C4-9031-B7C25F4400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6C637-D4A9-4921-B207-665725EC41A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Татьяна Владимировна</dc:creator>
  <cp:keywords/>
  <dc:description/>
  <cp:lastModifiedBy>Artemov Sergey</cp:lastModifiedBy>
  <cp:revision>1</cp:revision>
  <dcterms:created xsi:type="dcterms:W3CDTF">2025-07-10T09:21:00Z</dcterms:created>
  <dcterms:modified xsi:type="dcterms:W3CDTF">2025-07-10T09:21:00Z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c40fc8b6-8293-4016-9149-01b09d2b3734</vt:lpwstr>
  </property>
  <property fmtid="{D5CDD505-2E9C-101B-9397-08002B2CF9AE}" pid="3" name="ContentTypeId">
    <vt:lpwstr>0x010100EC99FCCB7523A74993637F407A4CA29D</vt:lpwstr>
  </property>
</Properties>
</file>